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33" w:rsidRPr="00E9012C" w:rsidRDefault="00A12133" w:rsidP="006B138E">
      <w:pPr>
        <w:contextualSpacing/>
        <w:jc w:val="center"/>
        <w:rPr>
          <w:i/>
          <w:sz w:val="24"/>
          <w:szCs w:val="24"/>
          <w:lang w:val="es-CO"/>
        </w:rPr>
      </w:pPr>
      <w:bookmarkStart w:id="0" w:name="_GoBack"/>
      <w:bookmarkEnd w:id="0"/>
    </w:p>
    <w:p w:rsidR="00940C72" w:rsidRPr="00E9012C" w:rsidRDefault="00A943AC" w:rsidP="00DB5BA1">
      <w:pPr>
        <w:contextualSpacing/>
        <w:jc w:val="center"/>
        <w:rPr>
          <w:b/>
          <w:sz w:val="24"/>
          <w:szCs w:val="24"/>
          <w:lang w:val="es-CO"/>
        </w:rPr>
      </w:pPr>
      <w:r w:rsidRPr="00E9012C">
        <w:rPr>
          <w:b/>
          <w:sz w:val="24"/>
          <w:szCs w:val="24"/>
          <w:lang w:val="es-CO"/>
        </w:rPr>
        <w:t>Decisión</w:t>
      </w:r>
      <w:r w:rsidR="00940C72" w:rsidRPr="00E9012C">
        <w:rPr>
          <w:b/>
          <w:sz w:val="24"/>
          <w:szCs w:val="24"/>
          <w:lang w:val="es-CO"/>
        </w:rPr>
        <w:t xml:space="preserve"> </w:t>
      </w:r>
      <w:r w:rsidR="00672552">
        <w:rPr>
          <w:b/>
          <w:sz w:val="24"/>
          <w:szCs w:val="24"/>
          <w:lang w:val="es-CO"/>
        </w:rPr>
        <w:t>7</w:t>
      </w:r>
      <w:r w:rsidR="006D7F88">
        <w:rPr>
          <w:b/>
          <w:sz w:val="24"/>
          <w:szCs w:val="24"/>
          <w:lang w:val="es-CO"/>
        </w:rPr>
        <w:t xml:space="preserve">.  </w:t>
      </w:r>
      <w:r w:rsidR="00904949" w:rsidRPr="00E9012C">
        <w:rPr>
          <w:b/>
          <w:sz w:val="24"/>
          <w:szCs w:val="24"/>
          <w:lang w:val="es-CO"/>
        </w:rPr>
        <w:t xml:space="preserve">Plataforma Regional de Cambio Climático </w:t>
      </w:r>
    </w:p>
    <w:p w:rsidR="00940C72" w:rsidRPr="00E9012C" w:rsidRDefault="00940C72" w:rsidP="00DB5BA1">
      <w:pPr>
        <w:contextualSpacing/>
        <w:jc w:val="center"/>
        <w:rPr>
          <w:b/>
          <w:sz w:val="24"/>
          <w:szCs w:val="24"/>
          <w:lang w:val="es-CO"/>
        </w:rPr>
      </w:pPr>
    </w:p>
    <w:p w:rsidR="00E9012C" w:rsidRDefault="00E9012C" w:rsidP="00E9012C">
      <w:pPr>
        <w:contextualSpacing/>
        <w:rPr>
          <w:sz w:val="24"/>
          <w:szCs w:val="24"/>
          <w:lang w:val="es-CO"/>
        </w:rPr>
      </w:pPr>
    </w:p>
    <w:p w:rsidR="00E07FB6" w:rsidRDefault="00E07FB6" w:rsidP="00E9012C">
      <w:pPr>
        <w:contextualSpacing/>
        <w:rPr>
          <w:sz w:val="24"/>
          <w:szCs w:val="24"/>
          <w:lang w:val="es-CO"/>
        </w:rPr>
      </w:pPr>
    </w:p>
    <w:p w:rsidR="00625A3E" w:rsidRPr="00E9012C" w:rsidRDefault="00E9012C" w:rsidP="00E9012C">
      <w:pPr>
        <w:contextualSpacing/>
        <w:rPr>
          <w:sz w:val="24"/>
          <w:szCs w:val="24"/>
          <w:lang w:val="es-CO"/>
        </w:rPr>
      </w:pPr>
      <w:r w:rsidRPr="00E9012C">
        <w:rPr>
          <w:sz w:val="24"/>
          <w:szCs w:val="24"/>
          <w:lang w:val="es-CO"/>
        </w:rPr>
        <w:t xml:space="preserve">Los Ministros de Medio Ambiente de América Latina y el Caribe, </w:t>
      </w:r>
    </w:p>
    <w:p w:rsidR="00E9012C" w:rsidRPr="00E9012C" w:rsidRDefault="00E9012C" w:rsidP="00DB5BA1">
      <w:pPr>
        <w:contextualSpacing/>
        <w:rPr>
          <w:sz w:val="24"/>
          <w:szCs w:val="24"/>
          <w:lang w:val="es-CO"/>
        </w:rPr>
      </w:pPr>
    </w:p>
    <w:p w:rsidR="009E3A75" w:rsidRPr="00E9012C" w:rsidRDefault="009E3A75" w:rsidP="006B138E">
      <w:pPr>
        <w:contextualSpacing/>
        <w:jc w:val="both"/>
        <w:rPr>
          <w:sz w:val="24"/>
          <w:szCs w:val="24"/>
        </w:rPr>
      </w:pPr>
      <w:r w:rsidRPr="00E9012C">
        <w:rPr>
          <w:b/>
          <w:sz w:val="24"/>
          <w:szCs w:val="24"/>
        </w:rPr>
        <w:t>Reconociendo</w:t>
      </w:r>
      <w:r w:rsidRPr="00E9012C">
        <w:rPr>
          <w:sz w:val="24"/>
          <w:szCs w:val="24"/>
        </w:rPr>
        <w:t xml:space="preserve"> que América Latina y el Caribe es </w:t>
      </w:r>
      <w:r w:rsidR="00A3772F" w:rsidRPr="00E9012C">
        <w:rPr>
          <w:sz w:val="24"/>
          <w:szCs w:val="24"/>
        </w:rPr>
        <w:t xml:space="preserve">una región </w:t>
      </w:r>
      <w:r w:rsidR="00D52548" w:rsidRPr="00E9012C">
        <w:rPr>
          <w:sz w:val="24"/>
          <w:szCs w:val="24"/>
        </w:rPr>
        <w:t xml:space="preserve">altamente vulnerable a los impactos del </w:t>
      </w:r>
      <w:r w:rsidRPr="00E9012C">
        <w:rPr>
          <w:sz w:val="24"/>
          <w:szCs w:val="24"/>
        </w:rPr>
        <w:t xml:space="preserve">cambio </w:t>
      </w:r>
      <w:r w:rsidR="0062081C" w:rsidRPr="00E9012C">
        <w:rPr>
          <w:sz w:val="24"/>
          <w:szCs w:val="24"/>
        </w:rPr>
        <w:t>climático</w:t>
      </w:r>
      <w:r w:rsidRPr="00E9012C">
        <w:rPr>
          <w:sz w:val="24"/>
          <w:szCs w:val="24"/>
        </w:rPr>
        <w:t xml:space="preserve"> </w:t>
      </w:r>
      <w:r w:rsidR="00BF4C20" w:rsidRPr="00E9012C">
        <w:rPr>
          <w:sz w:val="24"/>
          <w:szCs w:val="24"/>
        </w:rPr>
        <w:t xml:space="preserve">y </w:t>
      </w:r>
      <w:r w:rsidR="001A48F1" w:rsidRPr="00E9012C">
        <w:rPr>
          <w:sz w:val="24"/>
          <w:szCs w:val="24"/>
        </w:rPr>
        <w:t xml:space="preserve">que </w:t>
      </w:r>
      <w:r w:rsidR="00BF4C20" w:rsidRPr="00E9012C">
        <w:rPr>
          <w:sz w:val="24"/>
          <w:szCs w:val="24"/>
        </w:rPr>
        <w:t xml:space="preserve">su </w:t>
      </w:r>
      <w:r w:rsidR="001A48F1" w:rsidRPr="00E9012C">
        <w:rPr>
          <w:sz w:val="24"/>
          <w:szCs w:val="24"/>
        </w:rPr>
        <w:t xml:space="preserve">población </w:t>
      </w:r>
      <w:r w:rsidR="00A3772F" w:rsidRPr="00E9012C">
        <w:rPr>
          <w:sz w:val="24"/>
          <w:szCs w:val="24"/>
        </w:rPr>
        <w:t>es</w:t>
      </w:r>
      <w:r w:rsidR="001A48F1" w:rsidRPr="00E9012C">
        <w:rPr>
          <w:sz w:val="24"/>
          <w:szCs w:val="24"/>
        </w:rPr>
        <w:t xml:space="preserve"> </w:t>
      </w:r>
      <w:r w:rsidR="00A3772F" w:rsidRPr="00E9012C">
        <w:rPr>
          <w:sz w:val="24"/>
          <w:szCs w:val="24"/>
        </w:rPr>
        <w:t>considerablemente</w:t>
      </w:r>
      <w:r w:rsidR="001A48F1" w:rsidRPr="00E9012C">
        <w:rPr>
          <w:sz w:val="24"/>
          <w:szCs w:val="24"/>
        </w:rPr>
        <w:t xml:space="preserve"> dependiente de </w:t>
      </w:r>
      <w:r w:rsidRPr="00E9012C">
        <w:rPr>
          <w:sz w:val="24"/>
          <w:szCs w:val="24"/>
        </w:rPr>
        <w:t xml:space="preserve">los </w:t>
      </w:r>
      <w:r w:rsidR="00BF4C20" w:rsidRPr="00E9012C">
        <w:rPr>
          <w:sz w:val="24"/>
          <w:szCs w:val="24"/>
        </w:rPr>
        <w:t xml:space="preserve">diversos </w:t>
      </w:r>
      <w:r w:rsidRPr="00E9012C">
        <w:rPr>
          <w:sz w:val="24"/>
          <w:szCs w:val="24"/>
        </w:rPr>
        <w:t xml:space="preserve">ecosistemas </w:t>
      </w:r>
      <w:r w:rsidR="00BF4C20" w:rsidRPr="00E9012C">
        <w:rPr>
          <w:sz w:val="24"/>
          <w:szCs w:val="24"/>
        </w:rPr>
        <w:t xml:space="preserve">afectados por el cambio climático </w:t>
      </w:r>
      <w:r w:rsidRPr="00E9012C">
        <w:rPr>
          <w:sz w:val="24"/>
          <w:szCs w:val="24"/>
        </w:rPr>
        <w:t xml:space="preserve">y </w:t>
      </w:r>
      <w:r w:rsidR="001C6B03" w:rsidRPr="00E9012C">
        <w:rPr>
          <w:sz w:val="24"/>
          <w:szCs w:val="24"/>
        </w:rPr>
        <w:t xml:space="preserve">las funciones y, o, </w:t>
      </w:r>
      <w:r w:rsidRPr="00E9012C">
        <w:rPr>
          <w:sz w:val="24"/>
          <w:szCs w:val="24"/>
        </w:rPr>
        <w:t xml:space="preserve">servicios </w:t>
      </w:r>
      <w:r w:rsidR="00BF4C20" w:rsidRPr="00E9012C">
        <w:rPr>
          <w:sz w:val="24"/>
          <w:szCs w:val="24"/>
        </w:rPr>
        <w:t xml:space="preserve">fundamentales </w:t>
      </w:r>
      <w:r w:rsidRPr="00E9012C">
        <w:rPr>
          <w:sz w:val="24"/>
          <w:szCs w:val="24"/>
        </w:rPr>
        <w:t xml:space="preserve">que estos proveen. </w:t>
      </w:r>
    </w:p>
    <w:p w:rsidR="009E3A75" w:rsidRPr="00E9012C" w:rsidRDefault="009E3A75" w:rsidP="006B138E">
      <w:pPr>
        <w:contextualSpacing/>
        <w:jc w:val="both"/>
        <w:rPr>
          <w:sz w:val="24"/>
          <w:szCs w:val="24"/>
        </w:rPr>
      </w:pPr>
    </w:p>
    <w:p w:rsidR="00E9012C" w:rsidRPr="00E9012C" w:rsidRDefault="00E9012C" w:rsidP="00E9012C">
      <w:pPr>
        <w:contextualSpacing/>
        <w:jc w:val="both"/>
        <w:rPr>
          <w:sz w:val="24"/>
          <w:szCs w:val="24"/>
        </w:rPr>
      </w:pPr>
      <w:r w:rsidRPr="00E9012C">
        <w:rPr>
          <w:b/>
          <w:sz w:val="24"/>
          <w:szCs w:val="24"/>
        </w:rPr>
        <w:t>Conscientes</w:t>
      </w:r>
      <w:r w:rsidR="004A6321">
        <w:rPr>
          <w:sz w:val="24"/>
          <w:szCs w:val="24"/>
        </w:rPr>
        <w:t xml:space="preserve"> </w:t>
      </w:r>
      <w:r w:rsidRPr="00E9012C">
        <w:rPr>
          <w:sz w:val="24"/>
          <w:szCs w:val="24"/>
        </w:rPr>
        <w:t>que el cambio climático es un tema central para el desarrollo sostenible, y que las respuestas efectivas a este desafío global deben estar basadas en una visión integral de las dimensiones ambiental</w:t>
      </w:r>
      <w:r w:rsidR="002B562A">
        <w:rPr>
          <w:sz w:val="24"/>
          <w:szCs w:val="24"/>
        </w:rPr>
        <w:t>es</w:t>
      </w:r>
      <w:r w:rsidRPr="00E9012C">
        <w:rPr>
          <w:sz w:val="24"/>
          <w:szCs w:val="24"/>
        </w:rPr>
        <w:t>, económic</w:t>
      </w:r>
      <w:r w:rsidR="002B562A">
        <w:rPr>
          <w:sz w:val="24"/>
          <w:szCs w:val="24"/>
        </w:rPr>
        <w:t>as</w:t>
      </w:r>
      <w:r w:rsidRPr="00E9012C">
        <w:rPr>
          <w:sz w:val="24"/>
          <w:szCs w:val="24"/>
        </w:rPr>
        <w:t xml:space="preserve"> y social</w:t>
      </w:r>
      <w:r w:rsidR="002B562A">
        <w:rPr>
          <w:sz w:val="24"/>
          <w:szCs w:val="24"/>
        </w:rPr>
        <w:t>es.</w:t>
      </w:r>
      <w:r w:rsidRPr="00E9012C">
        <w:rPr>
          <w:sz w:val="24"/>
          <w:szCs w:val="24"/>
        </w:rPr>
        <w:t xml:space="preserve"> </w:t>
      </w:r>
    </w:p>
    <w:p w:rsidR="00E9012C" w:rsidRPr="00E9012C" w:rsidRDefault="00E9012C" w:rsidP="006B138E">
      <w:pPr>
        <w:contextualSpacing/>
        <w:jc w:val="both"/>
        <w:rPr>
          <w:sz w:val="24"/>
          <w:szCs w:val="24"/>
        </w:rPr>
      </w:pPr>
    </w:p>
    <w:p w:rsidR="00BF4C20" w:rsidRPr="00E9012C" w:rsidRDefault="008B7A76" w:rsidP="00BF4C20">
      <w:pPr>
        <w:contextualSpacing/>
        <w:jc w:val="both"/>
        <w:rPr>
          <w:sz w:val="24"/>
          <w:szCs w:val="24"/>
        </w:rPr>
      </w:pPr>
      <w:r w:rsidRPr="00E9012C">
        <w:rPr>
          <w:b/>
          <w:sz w:val="24"/>
          <w:szCs w:val="24"/>
          <w:lang w:val="es-CO"/>
        </w:rPr>
        <w:t>Reafirmando</w:t>
      </w:r>
      <w:r w:rsidR="00BF4C20" w:rsidRPr="00E9012C">
        <w:rPr>
          <w:sz w:val="24"/>
          <w:szCs w:val="24"/>
          <w:lang w:val="es-CO"/>
        </w:rPr>
        <w:t xml:space="preserve"> </w:t>
      </w:r>
      <w:r w:rsidR="00DC499C" w:rsidRPr="00E9012C">
        <w:rPr>
          <w:sz w:val="24"/>
          <w:szCs w:val="24"/>
          <w:lang w:val="es-CO"/>
        </w:rPr>
        <w:t>la importancia comp</w:t>
      </w:r>
      <w:r w:rsidR="00A3772F" w:rsidRPr="00E9012C">
        <w:rPr>
          <w:sz w:val="24"/>
          <w:szCs w:val="24"/>
          <w:lang w:val="es-CO"/>
        </w:rPr>
        <w:t>artir información, experiencias y</w:t>
      </w:r>
      <w:r w:rsidR="00DC499C" w:rsidRPr="00E9012C">
        <w:rPr>
          <w:sz w:val="24"/>
          <w:szCs w:val="24"/>
          <w:lang w:val="es-CO"/>
        </w:rPr>
        <w:t xml:space="preserve"> mejores prácticas en materia de </w:t>
      </w:r>
      <w:r w:rsidR="001A48F1" w:rsidRPr="00E9012C">
        <w:rPr>
          <w:sz w:val="24"/>
          <w:szCs w:val="24"/>
          <w:lang w:val="es-CO"/>
        </w:rPr>
        <w:t xml:space="preserve">acciones efectivas contra el </w:t>
      </w:r>
      <w:r w:rsidR="00DC499C" w:rsidRPr="00E9012C">
        <w:rPr>
          <w:sz w:val="24"/>
          <w:szCs w:val="24"/>
          <w:lang w:val="es-CO"/>
        </w:rPr>
        <w:t>cambio climático</w:t>
      </w:r>
      <w:r w:rsidR="000D64BC" w:rsidRPr="00E9012C">
        <w:rPr>
          <w:sz w:val="24"/>
          <w:szCs w:val="24"/>
          <w:lang w:val="es-CO"/>
        </w:rPr>
        <w:t xml:space="preserve">, y </w:t>
      </w:r>
      <w:r w:rsidR="00BF4C20" w:rsidRPr="00E9012C">
        <w:rPr>
          <w:sz w:val="24"/>
          <w:szCs w:val="24"/>
        </w:rPr>
        <w:t>que la región</w:t>
      </w:r>
      <w:r w:rsidR="00E32DCB" w:rsidRPr="00E9012C">
        <w:rPr>
          <w:sz w:val="24"/>
          <w:szCs w:val="24"/>
        </w:rPr>
        <w:t xml:space="preserve"> </w:t>
      </w:r>
      <w:r w:rsidR="00A3772F" w:rsidRPr="00E9012C">
        <w:rPr>
          <w:sz w:val="24"/>
          <w:szCs w:val="24"/>
        </w:rPr>
        <w:t xml:space="preserve">ya cuenta con </w:t>
      </w:r>
      <w:r w:rsidR="00E32DCB" w:rsidRPr="00E9012C">
        <w:rPr>
          <w:sz w:val="24"/>
          <w:szCs w:val="24"/>
        </w:rPr>
        <w:t xml:space="preserve">una gran cantidad de </w:t>
      </w:r>
      <w:r w:rsidR="00BF4C20" w:rsidRPr="00E9012C">
        <w:rPr>
          <w:sz w:val="24"/>
          <w:szCs w:val="24"/>
        </w:rPr>
        <w:t>buenas prácticas y experiencias que son ejemplo</w:t>
      </w:r>
      <w:r w:rsidR="00E32DCB" w:rsidRPr="00E9012C">
        <w:rPr>
          <w:sz w:val="24"/>
          <w:szCs w:val="24"/>
        </w:rPr>
        <w:t>s</w:t>
      </w:r>
      <w:r w:rsidR="00BF4C20" w:rsidRPr="00E9012C">
        <w:rPr>
          <w:sz w:val="24"/>
          <w:szCs w:val="24"/>
        </w:rPr>
        <w:t xml:space="preserve"> </w:t>
      </w:r>
      <w:r w:rsidR="00A3772F" w:rsidRPr="00E9012C">
        <w:rPr>
          <w:sz w:val="24"/>
          <w:szCs w:val="24"/>
        </w:rPr>
        <w:t xml:space="preserve">globales </w:t>
      </w:r>
      <w:r w:rsidR="00BF4C20" w:rsidRPr="00E9012C">
        <w:rPr>
          <w:sz w:val="24"/>
          <w:szCs w:val="24"/>
        </w:rPr>
        <w:t>de acción climática</w:t>
      </w:r>
      <w:r w:rsidR="00E32DCB" w:rsidRPr="00E9012C">
        <w:rPr>
          <w:sz w:val="24"/>
          <w:szCs w:val="24"/>
        </w:rPr>
        <w:t xml:space="preserve"> e </w:t>
      </w:r>
      <w:r w:rsidR="00BF4C20" w:rsidRPr="00E9012C">
        <w:rPr>
          <w:sz w:val="24"/>
          <w:szCs w:val="24"/>
        </w:rPr>
        <w:t xml:space="preserve">innovación. </w:t>
      </w:r>
    </w:p>
    <w:p w:rsidR="00BF4C20" w:rsidRPr="00E9012C" w:rsidRDefault="00BF4C20" w:rsidP="006B138E">
      <w:pPr>
        <w:contextualSpacing/>
        <w:jc w:val="both"/>
        <w:rPr>
          <w:sz w:val="24"/>
          <w:szCs w:val="24"/>
        </w:rPr>
      </w:pPr>
    </w:p>
    <w:p w:rsidR="00BF4C20" w:rsidRPr="00E9012C" w:rsidRDefault="008B7A76" w:rsidP="00BF4C20">
      <w:pPr>
        <w:contextualSpacing/>
        <w:jc w:val="both"/>
        <w:rPr>
          <w:sz w:val="24"/>
          <w:szCs w:val="24"/>
          <w:lang w:val="es-CO"/>
        </w:rPr>
      </w:pPr>
      <w:r w:rsidRPr="00E9012C">
        <w:rPr>
          <w:b/>
          <w:sz w:val="24"/>
          <w:szCs w:val="24"/>
          <w:lang w:val="es-CO"/>
        </w:rPr>
        <w:t>Teniendo presente</w:t>
      </w:r>
      <w:r w:rsidR="00BF4C20" w:rsidRPr="00E9012C">
        <w:rPr>
          <w:sz w:val="24"/>
          <w:szCs w:val="24"/>
          <w:lang w:val="es-CO"/>
        </w:rPr>
        <w:t xml:space="preserve"> que, a pesar que varios países en la región </w:t>
      </w:r>
      <w:r w:rsidR="001A48F1" w:rsidRPr="00E9012C">
        <w:rPr>
          <w:sz w:val="24"/>
          <w:szCs w:val="24"/>
          <w:lang w:val="es-CO"/>
        </w:rPr>
        <w:t xml:space="preserve">ya </w:t>
      </w:r>
      <w:r w:rsidR="00BF4C20" w:rsidRPr="00E9012C">
        <w:rPr>
          <w:sz w:val="24"/>
          <w:szCs w:val="24"/>
          <w:lang w:val="es-CO"/>
        </w:rPr>
        <w:t xml:space="preserve">han avanzado significativamente en la implementación de acciones </w:t>
      </w:r>
      <w:r w:rsidR="00A3772F" w:rsidRPr="00E9012C">
        <w:rPr>
          <w:sz w:val="24"/>
          <w:szCs w:val="24"/>
          <w:lang w:val="es-CO"/>
        </w:rPr>
        <w:t>d</w:t>
      </w:r>
      <w:r w:rsidR="00BF4C20" w:rsidRPr="00E9012C">
        <w:rPr>
          <w:sz w:val="24"/>
          <w:szCs w:val="24"/>
          <w:lang w:val="es-CO"/>
        </w:rPr>
        <w:t>e cooperación regional</w:t>
      </w:r>
      <w:r w:rsidR="00A3772F" w:rsidRPr="00E9012C">
        <w:rPr>
          <w:sz w:val="24"/>
          <w:szCs w:val="24"/>
          <w:lang w:val="es-CO"/>
        </w:rPr>
        <w:t xml:space="preserve"> y Sur-Sur</w:t>
      </w:r>
      <w:r w:rsidR="00BF4C20" w:rsidRPr="00E9012C">
        <w:rPr>
          <w:sz w:val="24"/>
          <w:szCs w:val="24"/>
          <w:lang w:val="es-CO"/>
        </w:rPr>
        <w:t xml:space="preserve">, existen importantes oportunidades para ahondar más en la puesta en marcha de acciones de cooperación regional para </w:t>
      </w:r>
      <w:r w:rsidR="00700F90" w:rsidRPr="00E9012C">
        <w:rPr>
          <w:sz w:val="24"/>
          <w:szCs w:val="24"/>
          <w:lang w:val="es-CO"/>
        </w:rPr>
        <w:t>s</w:t>
      </w:r>
      <w:r w:rsidR="00BF4C20" w:rsidRPr="00E9012C">
        <w:rPr>
          <w:sz w:val="24"/>
          <w:szCs w:val="24"/>
          <w:lang w:val="es-CO"/>
        </w:rPr>
        <w:t>uplir los vacíos de capacidad existentes</w:t>
      </w:r>
      <w:r w:rsidR="001A48F1" w:rsidRPr="00E9012C">
        <w:rPr>
          <w:sz w:val="24"/>
          <w:szCs w:val="24"/>
          <w:lang w:val="es-CO"/>
        </w:rPr>
        <w:t>.</w:t>
      </w:r>
    </w:p>
    <w:p w:rsidR="00D52548" w:rsidRPr="00E9012C" w:rsidRDefault="00D52548" w:rsidP="00BF4C20">
      <w:pPr>
        <w:contextualSpacing/>
        <w:jc w:val="both"/>
        <w:rPr>
          <w:sz w:val="24"/>
          <w:szCs w:val="24"/>
          <w:lang w:val="es-CO"/>
        </w:rPr>
      </w:pPr>
    </w:p>
    <w:p w:rsidR="00625A3E" w:rsidRPr="00E9012C" w:rsidRDefault="0039169B" w:rsidP="006B138E">
      <w:pPr>
        <w:contextualSpacing/>
        <w:jc w:val="both"/>
        <w:rPr>
          <w:sz w:val="24"/>
          <w:szCs w:val="24"/>
          <w:lang w:val="es-CO"/>
        </w:rPr>
      </w:pPr>
      <w:r w:rsidRPr="00E9012C">
        <w:rPr>
          <w:b/>
          <w:sz w:val="24"/>
          <w:szCs w:val="24"/>
          <w:lang w:val="es-CO"/>
        </w:rPr>
        <w:t>Reco</w:t>
      </w:r>
      <w:r w:rsidR="008B7A76" w:rsidRPr="00E9012C">
        <w:rPr>
          <w:b/>
          <w:sz w:val="24"/>
          <w:szCs w:val="24"/>
          <w:lang w:val="es-CO"/>
        </w:rPr>
        <w:t>rdando</w:t>
      </w:r>
      <w:r w:rsidRPr="00E9012C">
        <w:rPr>
          <w:b/>
          <w:sz w:val="24"/>
          <w:szCs w:val="24"/>
          <w:lang w:val="es-CO"/>
        </w:rPr>
        <w:t xml:space="preserve"> </w:t>
      </w:r>
      <w:r w:rsidR="001A22C0" w:rsidRPr="00E9012C">
        <w:rPr>
          <w:sz w:val="24"/>
          <w:szCs w:val="24"/>
          <w:lang w:val="es-CO"/>
        </w:rPr>
        <w:t xml:space="preserve">la </w:t>
      </w:r>
      <w:r w:rsidR="001A22C0" w:rsidRPr="00E9012C">
        <w:rPr>
          <w:sz w:val="24"/>
          <w:szCs w:val="24"/>
        </w:rPr>
        <w:t>decisión de</w:t>
      </w:r>
      <w:r w:rsidR="008B7A76" w:rsidRPr="00E9012C">
        <w:rPr>
          <w:sz w:val="24"/>
          <w:szCs w:val="24"/>
        </w:rPr>
        <w:t xml:space="preserve"> </w:t>
      </w:r>
      <w:r w:rsidR="00DB24FA" w:rsidRPr="00E9012C">
        <w:rPr>
          <w:sz w:val="24"/>
          <w:szCs w:val="24"/>
        </w:rPr>
        <w:t>l</w:t>
      </w:r>
      <w:r w:rsidR="008B7A76" w:rsidRPr="00E9012C">
        <w:rPr>
          <w:sz w:val="24"/>
          <w:szCs w:val="24"/>
        </w:rPr>
        <w:t>a</w:t>
      </w:r>
      <w:r w:rsidR="00DB24FA" w:rsidRPr="00E9012C">
        <w:rPr>
          <w:sz w:val="24"/>
          <w:szCs w:val="24"/>
        </w:rPr>
        <w:t xml:space="preserve"> XIX</w:t>
      </w:r>
      <w:r w:rsidR="008B7A76" w:rsidRPr="00E9012C">
        <w:rPr>
          <w:sz w:val="24"/>
          <w:szCs w:val="24"/>
        </w:rPr>
        <w:t xml:space="preserve"> Reunión del</w:t>
      </w:r>
      <w:r w:rsidR="00A3772F" w:rsidRPr="00E9012C">
        <w:rPr>
          <w:sz w:val="24"/>
          <w:szCs w:val="24"/>
        </w:rPr>
        <w:t xml:space="preserve"> Foro de Ministros</w:t>
      </w:r>
      <w:r w:rsidR="008B7A76" w:rsidRPr="00E9012C">
        <w:rPr>
          <w:sz w:val="24"/>
          <w:szCs w:val="24"/>
        </w:rPr>
        <w:t xml:space="preserve"> de Medio Ambiente de América Latina y el Caribe, celebrada en </w:t>
      </w:r>
      <w:r w:rsidR="00A3772F" w:rsidRPr="00E9012C">
        <w:rPr>
          <w:sz w:val="24"/>
          <w:szCs w:val="24"/>
        </w:rPr>
        <w:t xml:space="preserve">Los Cabos, México, </w:t>
      </w:r>
      <w:r w:rsidR="00DB24FA" w:rsidRPr="00E9012C">
        <w:rPr>
          <w:sz w:val="24"/>
          <w:szCs w:val="24"/>
        </w:rPr>
        <w:t xml:space="preserve">que </w:t>
      </w:r>
      <w:r w:rsidR="008B7A76" w:rsidRPr="00E9012C">
        <w:rPr>
          <w:sz w:val="24"/>
          <w:szCs w:val="24"/>
        </w:rPr>
        <w:t>decidió avanzar en el desarrollo de</w:t>
      </w:r>
      <w:r w:rsidR="00DB24FA" w:rsidRPr="00E9012C">
        <w:rPr>
          <w:sz w:val="24"/>
          <w:szCs w:val="24"/>
        </w:rPr>
        <w:t xml:space="preserve"> un </w:t>
      </w:r>
      <w:r w:rsidR="00A3772F" w:rsidRPr="00E9012C">
        <w:rPr>
          <w:sz w:val="24"/>
          <w:szCs w:val="24"/>
        </w:rPr>
        <w:t>Programa de Cooperación R</w:t>
      </w:r>
      <w:r w:rsidR="001A22C0" w:rsidRPr="00E9012C">
        <w:rPr>
          <w:sz w:val="24"/>
          <w:szCs w:val="24"/>
        </w:rPr>
        <w:t xml:space="preserve">egional sobre </w:t>
      </w:r>
      <w:r w:rsidR="00A3772F" w:rsidRPr="00E9012C">
        <w:rPr>
          <w:sz w:val="24"/>
          <w:szCs w:val="24"/>
        </w:rPr>
        <w:t>Cambio C</w:t>
      </w:r>
      <w:r w:rsidR="001A22C0" w:rsidRPr="00E9012C">
        <w:rPr>
          <w:sz w:val="24"/>
          <w:szCs w:val="24"/>
        </w:rPr>
        <w:t>limático</w:t>
      </w:r>
      <w:r w:rsidR="00A3772F" w:rsidRPr="00E9012C">
        <w:rPr>
          <w:sz w:val="24"/>
          <w:szCs w:val="24"/>
        </w:rPr>
        <w:t>,</w:t>
      </w:r>
      <w:r w:rsidR="001A22C0" w:rsidRPr="00E9012C">
        <w:rPr>
          <w:sz w:val="24"/>
          <w:szCs w:val="24"/>
        </w:rPr>
        <w:t xml:space="preserve"> como marco de c</w:t>
      </w:r>
      <w:r w:rsidR="00DB24FA" w:rsidRPr="00E9012C">
        <w:rPr>
          <w:sz w:val="24"/>
          <w:szCs w:val="24"/>
        </w:rPr>
        <w:t>ooperación Sur-Sur y triangular</w:t>
      </w:r>
      <w:r w:rsidR="001A48F1" w:rsidRPr="00E9012C">
        <w:rPr>
          <w:sz w:val="24"/>
          <w:szCs w:val="24"/>
        </w:rPr>
        <w:t xml:space="preserve">. </w:t>
      </w:r>
    </w:p>
    <w:p w:rsidR="00E760A7" w:rsidRPr="00E9012C" w:rsidRDefault="00E760A7" w:rsidP="006B138E">
      <w:pPr>
        <w:contextualSpacing/>
        <w:jc w:val="both"/>
        <w:rPr>
          <w:sz w:val="24"/>
          <w:szCs w:val="24"/>
          <w:lang w:val="es-CO"/>
        </w:rPr>
      </w:pPr>
    </w:p>
    <w:p w:rsidR="00E9012C" w:rsidRPr="00E9012C" w:rsidRDefault="00E9012C" w:rsidP="00E9012C">
      <w:pPr>
        <w:contextualSpacing/>
        <w:jc w:val="both"/>
        <w:rPr>
          <w:sz w:val="24"/>
          <w:szCs w:val="24"/>
        </w:rPr>
      </w:pPr>
      <w:r w:rsidRPr="00E9012C">
        <w:rPr>
          <w:b/>
          <w:sz w:val="24"/>
          <w:szCs w:val="24"/>
          <w:lang w:val="es-CO"/>
        </w:rPr>
        <w:t>Reconociendo</w:t>
      </w:r>
      <w:r w:rsidRPr="00E9012C">
        <w:rPr>
          <w:rFonts w:cstheme="minorHAnsi"/>
          <w:sz w:val="24"/>
          <w:szCs w:val="24"/>
          <w:lang w:val="es-ES_tradnl"/>
        </w:rPr>
        <w:t xml:space="preserve"> </w:t>
      </w:r>
      <w:r w:rsidRPr="00E9012C">
        <w:rPr>
          <w:sz w:val="24"/>
          <w:szCs w:val="24"/>
          <w:lang w:val="es-CO"/>
        </w:rPr>
        <w:t xml:space="preserve">la recomendación de la reunión intersesional del Foro de Ministros de Medio Ambiente, realizada en la Ciudad de México en noviembre de 2015, de </w:t>
      </w:r>
      <w:r w:rsidRPr="00E9012C">
        <w:rPr>
          <w:sz w:val="24"/>
          <w:szCs w:val="24"/>
        </w:rPr>
        <w:t>revisar el Programa de Cooperación Regional sobre Cambio Climático a la luz de los resultados de la COP-21 y considerando las Contribuciones Determinadas a nivel Nacional, s</w:t>
      </w:r>
      <w:r w:rsidR="002B562A">
        <w:rPr>
          <w:sz w:val="24"/>
          <w:szCs w:val="24"/>
        </w:rPr>
        <w:t>ó</w:t>
      </w:r>
      <w:r w:rsidRPr="00E9012C">
        <w:rPr>
          <w:sz w:val="24"/>
          <w:szCs w:val="24"/>
        </w:rPr>
        <w:t>lo aplicables a los países que las presenten, de cara al establecimiento de una  Plataforma Regional de Cooperación sobre Cambio Climático</w:t>
      </w:r>
      <w:r w:rsidR="00FD4931">
        <w:rPr>
          <w:sz w:val="24"/>
          <w:szCs w:val="24"/>
        </w:rPr>
        <w:t>, de participación voluntaria</w:t>
      </w:r>
      <w:r w:rsidRPr="00E9012C">
        <w:rPr>
          <w:sz w:val="24"/>
          <w:szCs w:val="24"/>
        </w:rPr>
        <w:t>.</w:t>
      </w:r>
      <w:r w:rsidRPr="00E9012C">
        <w:rPr>
          <w:sz w:val="24"/>
          <w:szCs w:val="24"/>
          <w:lang w:val="es-CO"/>
        </w:rPr>
        <w:t xml:space="preserve"> </w:t>
      </w:r>
    </w:p>
    <w:p w:rsidR="00E9012C" w:rsidRDefault="00E9012C" w:rsidP="00E9012C">
      <w:pPr>
        <w:pStyle w:val="Textocomentario"/>
        <w:spacing w:line="276" w:lineRule="auto"/>
        <w:jc w:val="both"/>
        <w:rPr>
          <w:rFonts w:cs="Arial"/>
          <w:sz w:val="24"/>
          <w:szCs w:val="24"/>
          <w:lang w:val="es-ES_tradnl"/>
        </w:rPr>
      </w:pPr>
      <w:r w:rsidRPr="00E9012C">
        <w:rPr>
          <w:rFonts w:cs="Arial"/>
          <w:b/>
          <w:sz w:val="24"/>
          <w:szCs w:val="24"/>
          <w:lang w:val="es-ES_tradnl"/>
        </w:rPr>
        <w:t>Resalta</w:t>
      </w:r>
      <w:r>
        <w:rPr>
          <w:rFonts w:cs="Arial"/>
          <w:b/>
          <w:sz w:val="24"/>
          <w:szCs w:val="24"/>
          <w:lang w:val="es-ES_tradnl"/>
        </w:rPr>
        <w:t>ndo</w:t>
      </w:r>
      <w:r w:rsidRPr="00E9012C">
        <w:rPr>
          <w:rFonts w:cs="Arial"/>
          <w:sz w:val="24"/>
          <w:szCs w:val="24"/>
          <w:lang w:val="es-ES_tradnl"/>
        </w:rPr>
        <w:t xml:space="preserve"> la importancia de la I Reunión de Cancilleres, Ministros de Ambiente u otras autoridades nacionales de alto nivel relacionadas con cambio climático de los países </w:t>
      </w:r>
      <w:r w:rsidRPr="00E9012C">
        <w:rPr>
          <w:rFonts w:cs="Arial"/>
          <w:sz w:val="24"/>
          <w:szCs w:val="24"/>
          <w:lang w:val="es-ES_tradnl"/>
        </w:rPr>
        <w:lastRenderedPageBreak/>
        <w:t xml:space="preserve">miembros de la CELAC, así como la presentación regional del documento de Elementos Comunes de los países miembros de la CELAC en la COP21. </w:t>
      </w:r>
    </w:p>
    <w:p w:rsidR="00FD4931" w:rsidRPr="00FD4931" w:rsidRDefault="00FD4931" w:rsidP="00FD4931">
      <w:pPr>
        <w:pStyle w:val="Textocomentario"/>
        <w:spacing w:line="276" w:lineRule="auto"/>
        <w:jc w:val="both"/>
        <w:rPr>
          <w:rFonts w:cs="Arial"/>
          <w:b/>
          <w:sz w:val="24"/>
          <w:szCs w:val="24"/>
          <w:lang w:val="es-ES_tradnl"/>
        </w:rPr>
      </w:pPr>
      <w:r w:rsidRPr="00FD4931">
        <w:rPr>
          <w:rFonts w:cs="Arial"/>
          <w:b/>
          <w:sz w:val="24"/>
          <w:szCs w:val="24"/>
          <w:lang w:val="es-ES_tradnl"/>
        </w:rPr>
        <w:t xml:space="preserve">Teniendo presente </w:t>
      </w:r>
      <w:r w:rsidRPr="00FD4931">
        <w:rPr>
          <w:rFonts w:cs="Arial"/>
          <w:sz w:val="24"/>
          <w:szCs w:val="24"/>
          <w:lang w:val="es-ES_tradnl"/>
        </w:rPr>
        <w:t>la decisión de los Jefes de Estado en la II Cumbre de la CELAC, de continuar trabajando en la conformación de una agenda ambiental construida a partir de los resultados y acciones regionales en curso, sin duplicar esfuerzos ni solapar estructuras existentes, en particular el Foro de Ministros de Medio Ambiente de la América Latina y el Caribe.</w:t>
      </w:r>
    </w:p>
    <w:p w:rsidR="00E9012C" w:rsidRPr="00E9012C" w:rsidRDefault="00E9012C" w:rsidP="00E9012C">
      <w:pPr>
        <w:pStyle w:val="Textocomentario"/>
        <w:spacing w:line="276" w:lineRule="auto"/>
        <w:jc w:val="both"/>
        <w:rPr>
          <w:rFonts w:cs="Arial"/>
          <w:sz w:val="24"/>
          <w:szCs w:val="24"/>
          <w:lang w:val="es-ES_tradnl"/>
        </w:rPr>
      </w:pPr>
      <w:r w:rsidRPr="00E9012C">
        <w:rPr>
          <w:rFonts w:cs="Arial"/>
          <w:b/>
          <w:sz w:val="24"/>
          <w:szCs w:val="24"/>
          <w:lang w:val="es-ES_tradnl"/>
        </w:rPr>
        <w:t>Teniendo presente</w:t>
      </w:r>
      <w:r w:rsidRPr="00E9012C">
        <w:rPr>
          <w:rFonts w:cs="Arial"/>
          <w:sz w:val="24"/>
          <w:szCs w:val="24"/>
          <w:lang w:val="es-ES_tradnl"/>
        </w:rPr>
        <w:t xml:space="preserve"> la decisión de los Jefes de Estado en la IV Cumbre de la CELAC, de convocar a la</w:t>
      </w:r>
      <w:r w:rsidRPr="00E9012C">
        <w:rPr>
          <w:sz w:val="24"/>
          <w:szCs w:val="24"/>
        </w:rPr>
        <w:t xml:space="preserve"> II Reunión de Ministros de Ambiente u otras autoridades nacionales de alto nivel relacionadas con el cambio climático, tomando como base los acuerdos y compromisos alcanzados en la COP 21</w:t>
      </w:r>
      <w:r w:rsidR="002B562A">
        <w:rPr>
          <w:sz w:val="24"/>
          <w:szCs w:val="24"/>
        </w:rPr>
        <w:t>,</w:t>
      </w:r>
      <w:r w:rsidRPr="00E9012C">
        <w:rPr>
          <w:sz w:val="24"/>
          <w:szCs w:val="24"/>
        </w:rPr>
        <w:t xml:space="preserve"> que permita avanzar en los objetivos planteados por la región sobre esta materia.</w:t>
      </w:r>
      <w:r w:rsidR="00126637" w:rsidRPr="00126637">
        <w:rPr>
          <w:sz w:val="24"/>
          <w:szCs w:val="24"/>
        </w:rPr>
        <w:t xml:space="preserve"> </w:t>
      </w:r>
      <w:r w:rsidR="00126637" w:rsidRPr="000231FA">
        <w:rPr>
          <w:sz w:val="24"/>
          <w:szCs w:val="24"/>
        </w:rPr>
        <w:t>La República de Nicaragua no forma parte del Acuerdo de París.</w:t>
      </w:r>
    </w:p>
    <w:p w:rsidR="00E9012C" w:rsidRPr="00E9012C" w:rsidRDefault="00E9012C" w:rsidP="006B138E">
      <w:pPr>
        <w:contextualSpacing/>
        <w:jc w:val="center"/>
        <w:rPr>
          <w:b/>
          <w:sz w:val="24"/>
          <w:szCs w:val="24"/>
          <w:lang w:val="es-CO"/>
        </w:rPr>
      </w:pPr>
    </w:p>
    <w:p w:rsidR="00CC5D50" w:rsidRPr="00E9012C" w:rsidRDefault="00672552" w:rsidP="006B138E">
      <w:pPr>
        <w:contextualSpacing/>
        <w:jc w:val="center"/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Deciden</w:t>
      </w:r>
    </w:p>
    <w:p w:rsidR="00E9012C" w:rsidRPr="00E9012C" w:rsidRDefault="00E9012C" w:rsidP="00E9012C">
      <w:pPr>
        <w:pStyle w:val="Prrafodelista"/>
        <w:numPr>
          <w:ilvl w:val="0"/>
          <w:numId w:val="1"/>
        </w:numPr>
        <w:ind w:left="360"/>
        <w:jc w:val="both"/>
        <w:rPr>
          <w:sz w:val="24"/>
          <w:szCs w:val="24"/>
          <w:lang w:val="es-CO"/>
        </w:rPr>
      </w:pPr>
      <w:r w:rsidRPr="00E9012C">
        <w:rPr>
          <w:b/>
          <w:sz w:val="24"/>
          <w:szCs w:val="24"/>
          <w:lang w:val="es-CO"/>
        </w:rPr>
        <w:t xml:space="preserve">Establecer </w:t>
      </w:r>
      <w:r w:rsidRPr="00E9012C">
        <w:rPr>
          <w:sz w:val="24"/>
          <w:szCs w:val="24"/>
          <w:lang w:val="es-CO"/>
        </w:rPr>
        <w:t>una Plataforma Regional de Cooperación sobre Cambio Climático para América Latina y el Caribe, de participación voluntaria, la cual será liderada por los países de la región y comprenderá tres áreas prioritarias clave: (1) diálogo e intercambio de experiencias sobre políticas publicas climáticas; (2) acción climática tanto en adaptación, m</w:t>
      </w:r>
      <w:r w:rsidR="0035139B">
        <w:rPr>
          <w:sz w:val="24"/>
          <w:szCs w:val="24"/>
          <w:lang w:val="es-CO"/>
        </w:rPr>
        <w:t>itigación y perdidas y daños; y</w:t>
      </w:r>
      <w:r w:rsidRPr="00E9012C">
        <w:rPr>
          <w:sz w:val="24"/>
          <w:szCs w:val="24"/>
          <w:lang w:val="es-CO"/>
        </w:rPr>
        <w:t xml:space="preserve"> (3) financiamiento y </w:t>
      </w:r>
      <w:r w:rsidR="00C9072C">
        <w:rPr>
          <w:sz w:val="24"/>
          <w:szCs w:val="24"/>
          <w:lang w:val="es-CO"/>
        </w:rPr>
        <w:t xml:space="preserve">otros </w:t>
      </w:r>
      <w:r w:rsidRPr="00E9012C">
        <w:rPr>
          <w:sz w:val="24"/>
          <w:szCs w:val="24"/>
          <w:lang w:val="es-CO"/>
        </w:rPr>
        <w:t>medios de implementación, incluyendo la transferencia de tecnologías, y ciencia climática y creación de capacidades y que promoverá la cooperación regional sobre cambio climático de forma progresiva.</w:t>
      </w:r>
    </w:p>
    <w:p w:rsidR="00425A44" w:rsidRPr="00E9012C" w:rsidRDefault="00425A44" w:rsidP="00425A44">
      <w:pPr>
        <w:pStyle w:val="Prrafodelista"/>
        <w:ind w:left="360"/>
        <w:jc w:val="both"/>
        <w:rPr>
          <w:sz w:val="24"/>
          <w:szCs w:val="24"/>
          <w:lang w:val="es-CO"/>
        </w:rPr>
      </w:pPr>
    </w:p>
    <w:p w:rsidR="00D52548" w:rsidRPr="00E9012C" w:rsidRDefault="00D52548" w:rsidP="00D52548">
      <w:pPr>
        <w:pStyle w:val="Prrafodelista"/>
        <w:numPr>
          <w:ilvl w:val="0"/>
          <w:numId w:val="1"/>
        </w:numPr>
        <w:ind w:left="360"/>
        <w:jc w:val="both"/>
        <w:rPr>
          <w:sz w:val="24"/>
          <w:szCs w:val="24"/>
          <w:lang w:val="es-CO"/>
        </w:rPr>
      </w:pPr>
      <w:r w:rsidRPr="00E9012C">
        <w:rPr>
          <w:b/>
          <w:sz w:val="24"/>
          <w:szCs w:val="24"/>
          <w:lang w:val="es-CO"/>
        </w:rPr>
        <w:t xml:space="preserve">Resolver </w:t>
      </w:r>
      <w:r w:rsidR="00904949" w:rsidRPr="00E9012C">
        <w:rPr>
          <w:sz w:val="24"/>
          <w:szCs w:val="24"/>
          <w:lang w:val="es-CO"/>
        </w:rPr>
        <w:t>que el objetivo clave de la Plataforma Regional se</w:t>
      </w:r>
      <w:r w:rsidR="005B381C" w:rsidRPr="00E9012C">
        <w:rPr>
          <w:sz w:val="24"/>
          <w:szCs w:val="24"/>
          <w:lang w:val="es-CO"/>
        </w:rPr>
        <w:t>rá</w:t>
      </w:r>
      <w:r w:rsidRPr="00E9012C">
        <w:rPr>
          <w:sz w:val="24"/>
          <w:szCs w:val="24"/>
          <w:lang w:val="es-CO"/>
        </w:rPr>
        <w:t xml:space="preserve"> </w:t>
      </w:r>
      <w:r w:rsidR="00A3772F" w:rsidRPr="00E9012C">
        <w:rPr>
          <w:sz w:val="24"/>
          <w:szCs w:val="24"/>
          <w:lang w:val="es-CO"/>
        </w:rPr>
        <w:t>reforzar</w:t>
      </w:r>
      <w:r w:rsidR="00904949" w:rsidRPr="00E9012C">
        <w:rPr>
          <w:sz w:val="24"/>
          <w:szCs w:val="24"/>
          <w:lang w:val="es-CO"/>
        </w:rPr>
        <w:t xml:space="preserve"> las </w:t>
      </w:r>
      <w:r w:rsidRPr="00E9012C">
        <w:rPr>
          <w:sz w:val="24"/>
          <w:szCs w:val="24"/>
          <w:lang w:val="es-CO"/>
        </w:rPr>
        <w:t xml:space="preserve">capacidades </w:t>
      </w:r>
      <w:r w:rsidR="00C22CBE" w:rsidRPr="00E9012C">
        <w:rPr>
          <w:sz w:val="24"/>
          <w:szCs w:val="24"/>
          <w:lang w:val="es-CO"/>
        </w:rPr>
        <w:t xml:space="preserve">y la cooperación </w:t>
      </w:r>
      <w:r w:rsidRPr="00E9012C">
        <w:rPr>
          <w:sz w:val="24"/>
          <w:szCs w:val="24"/>
          <w:lang w:val="es-CO"/>
        </w:rPr>
        <w:t>en los países</w:t>
      </w:r>
      <w:r w:rsidR="005B381C" w:rsidRPr="00E9012C">
        <w:rPr>
          <w:sz w:val="24"/>
          <w:szCs w:val="24"/>
          <w:lang w:val="es-CO"/>
        </w:rPr>
        <w:t xml:space="preserve"> de la región</w:t>
      </w:r>
      <w:r w:rsidRPr="00E9012C">
        <w:rPr>
          <w:sz w:val="24"/>
          <w:szCs w:val="24"/>
          <w:lang w:val="es-CO"/>
        </w:rPr>
        <w:t xml:space="preserve">, como pilar esencial para la toma de </w:t>
      </w:r>
      <w:r w:rsidR="008E3ABF" w:rsidRPr="00E9012C">
        <w:rPr>
          <w:sz w:val="24"/>
          <w:szCs w:val="24"/>
          <w:lang w:val="es-CO"/>
        </w:rPr>
        <w:t>acciones para gestionar el cambio climático</w:t>
      </w:r>
      <w:r w:rsidR="00E9012C" w:rsidRPr="00E9012C">
        <w:rPr>
          <w:sz w:val="24"/>
          <w:szCs w:val="24"/>
          <w:lang w:val="es-CO"/>
        </w:rPr>
        <w:t>, to</w:t>
      </w:r>
      <w:r w:rsidR="00C35B19" w:rsidRPr="00E9012C">
        <w:rPr>
          <w:rFonts w:cstheme="minorHAnsi"/>
          <w:sz w:val="24"/>
          <w:szCs w:val="24"/>
          <w:lang w:val="es-ES_tradnl"/>
        </w:rPr>
        <w:t>mando en consideración las necesidades particulares de los países de la región.</w:t>
      </w:r>
    </w:p>
    <w:p w:rsidR="00D52548" w:rsidRPr="00E9012C" w:rsidRDefault="00D52548" w:rsidP="00D52548">
      <w:pPr>
        <w:pStyle w:val="Prrafodelista"/>
        <w:ind w:left="360"/>
        <w:jc w:val="both"/>
        <w:rPr>
          <w:sz w:val="24"/>
          <w:szCs w:val="24"/>
          <w:lang w:val="es-CO"/>
        </w:rPr>
      </w:pPr>
    </w:p>
    <w:p w:rsidR="00AC5597" w:rsidRPr="00E9012C" w:rsidRDefault="00AC5597" w:rsidP="00E9012C">
      <w:pPr>
        <w:pStyle w:val="Prrafodelista"/>
        <w:numPr>
          <w:ilvl w:val="0"/>
          <w:numId w:val="1"/>
        </w:numPr>
        <w:ind w:left="360"/>
        <w:jc w:val="both"/>
        <w:rPr>
          <w:sz w:val="24"/>
          <w:szCs w:val="24"/>
          <w:lang w:val="es-CO"/>
        </w:rPr>
      </w:pPr>
      <w:r w:rsidRPr="00E9012C">
        <w:rPr>
          <w:b/>
          <w:sz w:val="24"/>
          <w:szCs w:val="24"/>
          <w:lang w:val="es-CO"/>
        </w:rPr>
        <w:t>Solicitar</w:t>
      </w:r>
      <w:r w:rsidRPr="00E9012C">
        <w:rPr>
          <w:sz w:val="24"/>
          <w:szCs w:val="24"/>
          <w:lang w:val="es-CO"/>
        </w:rPr>
        <w:t xml:space="preserve"> a la Presidenci</w:t>
      </w:r>
      <w:r w:rsidR="002B562A">
        <w:rPr>
          <w:sz w:val="24"/>
          <w:szCs w:val="24"/>
          <w:lang w:val="es-CO"/>
        </w:rPr>
        <w:t>a del Foro, en conjunto con la M</w:t>
      </w:r>
      <w:r w:rsidRPr="00E9012C">
        <w:rPr>
          <w:sz w:val="24"/>
          <w:szCs w:val="24"/>
          <w:lang w:val="es-CO"/>
        </w:rPr>
        <w:t xml:space="preserve">esa </w:t>
      </w:r>
      <w:r w:rsidR="002B562A">
        <w:rPr>
          <w:sz w:val="24"/>
          <w:szCs w:val="24"/>
          <w:lang w:val="es-CO"/>
        </w:rPr>
        <w:t>D</w:t>
      </w:r>
      <w:r w:rsidRPr="00E9012C">
        <w:rPr>
          <w:sz w:val="24"/>
          <w:szCs w:val="24"/>
          <w:lang w:val="es-CO"/>
        </w:rPr>
        <w:t>irectiva del mismo, elabor</w:t>
      </w:r>
      <w:r w:rsidR="002B562A">
        <w:rPr>
          <w:sz w:val="24"/>
          <w:szCs w:val="24"/>
          <w:lang w:val="es-CO"/>
        </w:rPr>
        <w:t>ar la propuesta del plan de la P</w:t>
      </w:r>
      <w:r w:rsidRPr="00E9012C">
        <w:rPr>
          <w:sz w:val="24"/>
          <w:szCs w:val="24"/>
          <w:lang w:val="es-CO"/>
        </w:rPr>
        <w:t xml:space="preserve">lataforma que permita su </w:t>
      </w:r>
      <w:proofErr w:type="spellStart"/>
      <w:r w:rsidRPr="00E9012C">
        <w:rPr>
          <w:sz w:val="24"/>
          <w:szCs w:val="24"/>
          <w:lang w:val="es-CO"/>
        </w:rPr>
        <w:t>operacionalizaci</w:t>
      </w:r>
      <w:r w:rsidR="00E9012C" w:rsidRPr="00E9012C">
        <w:rPr>
          <w:sz w:val="24"/>
          <w:szCs w:val="24"/>
          <w:lang w:val="es-CO"/>
        </w:rPr>
        <w:t>ó</w:t>
      </w:r>
      <w:r w:rsidRPr="00E9012C">
        <w:rPr>
          <w:sz w:val="24"/>
          <w:szCs w:val="24"/>
          <w:lang w:val="es-CO"/>
        </w:rPr>
        <w:t>n</w:t>
      </w:r>
      <w:proofErr w:type="spellEnd"/>
      <w:r w:rsidRPr="00E9012C">
        <w:rPr>
          <w:sz w:val="24"/>
          <w:szCs w:val="24"/>
          <w:lang w:val="es-CO"/>
        </w:rPr>
        <w:t>.</w:t>
      </w:r>
      <w:r w:rsidR="00E9012C" w:rsidRPr="00E9012C">
        <w:rPr>
          <w:sz w:val="24"/>
          <w:szCs w:val="24"/>
          <w:lang w:val="es-CO"/>
        </w:rPr>
        <w:t xml:space="preserve"> Dicha propuesta será enviada a todos los países de la región para consideración y eventual aprobación. </w:t>
      </w:r>
      <w:r w:rsidRPr="00E9012C">
        <w:rPr>
          <w:sz w:val="24"/>
          <w:szCs w:val="24"/>
          <w:lang w:val="es-CO"/>
        </w:rPr>
        <w:t xml:space="preserve"> Para ello se solicita el apoyo de la Secretaría y de las otras agencias miembros del Comité Técnico Interagencial</w:t>
      </w:r>
      <w:r w:rsidR="00E9012C" w:rsidRPr="00E9012C">
        <w:rPr>
          <w:sz w:val="24"/>
          <w:szCs w:val="24"/>
          <w:lang w:val="es-CO"/>
        </w:rPr>
        <w:t xml:space="preserve">, así como </w:t>
      </w:r>
      <w:r w:rsidR="003E3B15" w:rsidRPr="00E9012C">
        <w:rPr>
          <w:sz w:val="24"/>
          <w:szCs w:val="24"/>
          <w:lang w:val="es-CO"/>
        </w:rPr>
        <w:t xml:space="preserve">considerar las sinergias con otras iniciativas de cooperación en curso. </w:t>
      </w:r>
    </w:p>
    <w:p w:rsidR="00AC5597" w:rsidRPr="00E9012C" w:rsidRDefault="00AC5597" w:rsidP="00E9012C">
      <w:pPr>
        <w:pStyle w:val="Prrafodelista"/>
        <w:ind w:left="360"/>
        <w:jc w:val="both"/>
        <w:rPr>
          <w:sz w:val="24"/>
          <w:szCs w:val="24"/>
          <w:lang w:val="es-CO"/>
        </w:rPr>
      </w:pPr>
    </w:p>
    <w:p w:rsidR="00CA17F0" w:rsidRPr="00E9012C" w:rsidRDefault="00AC5597" w:rsidP="006B138E">
      <w:pPr>
        <w:pStyle w:val="Prrafodelista"/>
        <w:numPr>
          <w:ilvl w:val="0"/>
          <w:numId w:val="1"/>
        </w:numPr>
        <w:ind w:left="360"/>
        <w:jc w:val="both"/>
        <w:rPr>
          <w:sz w:val="24"/>
          <w:szCs w:val="24"/>
          <w:lang w:val="es-CO"/>
        </w:rPr>
      </w:pPr>
      <w:r w:rsidRPr="00E9012C">
        <w:rPr>
          <w:b/>
          <w:sz w:val="24"/>
          <w:szCs w:val="24"/>
          <w:lang w:val="es-CO"/>
        </w:rPr>
        <w:lastRenderedPageBreak/>
        <w:t>Solicitar</w:t>
      </w:r>
      <w:r w:rsidRPr="00E9012C">
        <w:rPr>
          <w:sz w:val="24"/>
          <w:szCs w:val="24"/>
          <w:lang w:val="es-CO"/>
        </w:rPr>
        <w:t xml:space="preserve"> a las agencias del Comité Técnico Interagencial del Foro de Ministros</w:t>
      </w:r>
      <w:r w:rsidR="00E9012C" w:rsidRPr="00E9012C">
        <w:rPr>
          <w:sz w:val="24"/>
          <w:szCs w:val="24"/>
          <w:lang w:val="es-CO"/>
        </w:rPr>
        <w:t xml:space="preserve"> de Medio Ambiente de América Latina y el Caribe</w:t>
      </w:r>
      <w:r w:rsidRPr="00E9012C">
        <w:rPr>
          <w:sz w:val="24"/>
          <w:szCs w:val="24"/>
          <w:lang w:val="es-CO"/>
        </w:rPr>
        <w:t xml:space="preserve"> y a otras instituciones relevantes, a contribuir activamente para facilitar el funcionamiento dinámico de la Plataforma Regional, e impulsar las distintas áreas de la Plataforma</w:t>
      </w:r>
      <w:r w:rsidR="00E9012C" w:rsidRPr="00E9012C">
        <w:rPr>
          <w:sz w:val="24"/>
          <w:szCs w:val="24"/>
          <w:lang w:val="es-CO"/>
        </w:rPr>
        <w:t>,</w:t>
      </w:r>
      <w:r w:rsidR="003E3B15" w:rsidRPr="00E9012C">
        <w:rPr>
          <w:sz w:val="24"/>
          <w:szCs w:val="24"/>
          <w:lang w:val="es-CO"/>
        </w:rPr>
        <w:t xml:space="preserve"> en el marco de las prioridades establecidas por el Foro de Ministros</w:t>
      </w:r>
      <w:r w:rsidR="00E9012C" w:rsidRPr="00E9012C">
        <w:rPr>
          <w:sz w:val="24"/>
          <w:szCs w:val="24"/>
          <w:lang w:val="es-CO"/>
        </w:rPr>
        <w:t xml:space="preserve"> de Medio Ambiente de América Latina y el Caribe</w:t>
      </w:r>
      <w:r w:rsidR="003E3B15" w:rsidRPr="00E9012C">
        <w:rPr>
          <w:sz w:val="24"/>
          <w:szCs w:val="24"/>
          <w:lang w:val="es-CO"/>
        </w:rPr>
        <w:t xml:space="preserve">. </w:t>
      </w:r>
      <w:r w:rsidRPr="00E9012C">
        <w:rPr>
          <w:sz w:val="24"/>
          <w:szCs w:val="24"/>
          <w:lang w:val="es-CO"/>
        </w:rPr>
        <w:t xml:space="preserve"> </w:t>
      </w:r>
    </w:p>
    <w:p w:rsidR="00CA17F0" w:rsidRPr="00E9012C" w:rsidRDefault="00CA17F0" w:rsidP="00CA17F0">
      <w:pPr>
        <w:pStyle w:val="Prrafodelista"/>
        <w:ind w:left="360"/>
        <w:jc w:val="both"/>
        <w:rPr>
          <w:sz w:val="24"/>
          <w:szCs w:val="24"/>
          <w:lang w:val="es-CO"/>
        </w:rPr>
      </w:pPr>
    </w:p>
    <w:p w:rsidR="00904949" w:rsidRPr="00E9012C" w:rsidRDefault="008B7A76" w:rsidP="006B138E">
      <w:pPr>
        <w:pStyle w:val="Prrafodelista"/>
        <w:numPr>
          <w:ilvl w:val="0"/>
          <w:numId w:val="1"/>
        </w:numPr>
        <w:ind w:left="360"/>
        <w:jc w:val="both"/>
        <w:rPr>
          <w:sz w:val="24"/>
          <w:szCs w:val="24"/>
          <w:lang w:val="es-CO"/>
        </w:rPr>
      </w:pPr>
      <w:r w:rsidRPr="00E9012C">
        <w:rPr>
          <w:b/>
          <w:sz w:val="24"/>
          <w:szCs w:val="24"/>
          <w:lang w:val="es-CO"/>
        </w:rPr>
        <w:t>Asegurar</w:t>
      </w:r>
      <w:r w:rsidRPr="00E9012C">
        <w:rPr>
          <w:sz w:val="24"/>
          <w:szCs w:val="24"/>
          <w:lang w:val="es-CO"/>
        </w:rPr>
        <w:t xml:space="preserve"> que </w:t>
      </w:r>
      <w:r w:rsidR="00D52548" w:rsidRPr="00E9012C">
        <w:rPr>
          <w:sz w:val="24"/>
          <w:szCs w:val="24"/>
          <w:lang w:val="es-CO"/>
        </w:rPr>
        <w:t>en la puesta en marcha de la Plataforma Regional prime la eficiencia, la co</w:t>
      </w:r>
      <w:r w:rsidRPr="00E9012C">
        <w:rPr>
          <w:sz w:val="24"/>
          <w:szCs w:val="24"/>
          <w:lang w:val="es-CO"/>
        </w:rPr>
        <w:t>ordinación</w:t>
      </w:r>
      <w:r w:rsidR="00A3772F" w:rsidRPr="00E9012C">
        <w:rPr>
          <w:sz w:val="24"/>
          <w:szCs w:val="24"/>
          <w:lang w:val="es-CO"/>
        </w:rPr>
        <w:t xml:space="preserve"> y se </w:t>
      </w:r>
      <w:r w:rsidR="00D52548" w:rsidRPr="00E9012C">
        <w:rPr>
          <w:sz w:val="24"/>
          <w:szCs w:val="24"/>
          <w:lang w:val="es-CO"/>
        </w:rPr>
        <w:t>evite la duplicación de esfuerzos</w:t>
      </w:r>
      <w:r w:rsidR="00904949" w:rsidRPr="00E9012C">
        <w:rPr>
          <w:sz w:val="24"/>
          <w:szCs w:val="24"/>
          <w:lang w:val="es-CO"/>
        </w:rPr>
        <w:t xml:space="preserve">. </w:t>
      </w:r>
    </w:p>
    <w:p w:rsidR="00904949" w:rsidRPr="00E9012C" w:rsidRDefault="00904949" w:rsidP="00904949">
      <w:pPr>
        <w:pStyle w:val="Prrafodelista"/>
        <w:rPr>
          <w:sz w:val="24"/>
          <w:szCs w:val="24"/>
          <w:lang w:val="es-CO"/>
        </w:rPr>
      </w:pPr>
    </w:p>
    <w:p w:rsidR="00721A43" w:rsidRPr="00E9012C" w:rsidRDefault="00721A43" w:rsidP="006B138E">
      <w:pPr>
        <w:pStyle w:val="Prrafodelista"/>
        <w:numPr>
          <w:ilvl w:val="0"/>
          <w:numId w:val="1"/>
        </w:numPr>
        <w:ind w:left="360"/>
        <w:jc w:val="both"/>
        <w:rPr>
          <w:sz w:val="24"/>
          <w:szCs w:val="24"/>
          <w:lang w:val="es-CO"/>
        </w:rPr>
      </w:pPr>
      <w:r w:rsidRPr="00E9012C">
        <w:rPr>
          <w:b/>
          <w:sz w:val="24"/>
          <w:szCs w:val="24"/>
          <w:lang w:val="es-CO"/>
        </w:rPr>
        <w:t>Trabajar</w:t>
      </w:r>
      <w:r w:rsidRPr="00E9012C">
        <w:rPr>
          <w:sz w:val="24"/>
          <w:szCs w:val="24"/>
          <w:lang w:val="es-CO"/>
        </w:rPr>
        <w:t xml:space="preserve"> en la movilización de recursos, tanto nacionales como de la cooperación internacional y otras fuentes, para la implementación de las actividades en el marco de la Plataforma</w:t>
      </w:r>
      <w:r w:rsidR="00443A90" w:rsidRPr="00E9012C">
        <w:rPr>
          <w:sz w:val="24"/>
          <w:szCs w:val="24"/>
          <w:lang w:val="es-CO"/>
        </w:rPr>
        <w:t>, procurando un acceso equitativo a todos los países, de forma a que se logren los objetivos propuestos</w:t>
      </w:r>
      <w:r w:rsidRPr="00E9012C">
        <w:rPr>
          <w:sz w:val="24"/>
          <w:szCs w:val="24"/>
          <w:lang w:val="es-CO"/>
        </w:rPr>
        <w:t>.</w:t>
      </w:r>
    </w:p>
    <w:p w:rsidR="008B7A76" w:rsidRPr="00E9012C" w:rsidRDefault="008B7A76" w:rsidP="008B7A76">
      <w:pPr>
        <w:pStyle w:val="Prrafodelista"/>
        <w:rPr>
          <w:sz w:val="24"/>
          <w:szCs w:val="24"/>
          <w:lang w:val="es-CO"/>
        </w:rPr>
      </w:pPr>
    </w:p>
    <w:p w:rsidR="00D52548" w:rsidRPr="00E9012C" w:rsidRDefault="00D52548" w:rsidP="008B7A76">
      <w:pPr>
        <w:pStyle w:val="Prrafodelista"/>
        <w:ind w:left="360"/>
        <w:jc w:val="both"/>
        <w:rPr>
          <w:sz w:val="24"/>
          <w:szCs w:val="24"/>
          <w:lang w:val="es-CO"/>
        </w:rPr>
      </w:pPr>
    </w:p>
    <w:sectPr w:rsidR="00D52548" w:rsidRPr="00E9012C" w:rsidSect="00AE10E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EFA9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55" w:rsidRDefault="001F2055" w:rsidP="00B67BDF">
      <w:pPr>
        <w:spacing w:after="0" w:line="240" w:lineRule="auto"/>
      </w:pPr>
      <w:r>
        <w:separator/>
      </w:r>
    </w:p>
  </w:endnote>
  <w:endnote w:type="continuationSeparator" w:id="0">
    <w:p w:rsidR="001F2055" w:rsidRDefault="001F2055" w:rsidP="00B6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5719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60902" w:rsidRDefault="00A33428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F88">
          <w:rPr>
            <w:noProof/>
          </w:rPr>
          <w:t>1</w:t>
        </w:r>
        <w:r>
          <w:rPr>
            <w:noProof/>
          </w:rPr>
          <w:fldChar w:fldCharType="end"/>
        </w:r>
        <w:r w:rsidR="00160902">
          <w:t xml:space="preserve"> | </w:t>
        </w:r>
        <w:r w:rsidR="00160902">
          <w:rPr>
            <w:color w:val="7F7F7F" w:themeColor="background1" w:themeShade="7F"/>
            <w:spacing w:val="60"/>
          </w:rPr>
          <w:t>Page</w:t>
        </w:r>
      </w:p>
    </w:sdtContent>
  </w:sdt>
  <w:p w:rsidR="00160902" w:rsidRDefault="001609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55" w:rsidRDefault="001F2055" w:rsidP="00B67BDF">
      <w:pPr>
        <w:spacing w:after="0" w:line="240" w:lineRule="auto"/>
      </w:pPr>
      <w:r>
        <w:separator/>
      </w:r>
    </w:p>
  </w:footnote>
  <w:footnote w:type="continuationSeparator" w:id="0">
    <w:p w:rsidR="001F2055" w:rsidRDefault="001F2055" w:rsidP="00B6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02" w:rsidRPr="00A943AC" w:rsidRDefault="00160902" w:rsidP="00B67BDF">
    <w:pPr>
      <w:tabs>
        <w:tab w:val="left" w:pos="196"/>
        <w:tab w:val="center" w:pos="4419"/>
      </w:tabs>
      <w:contextualSpacing/>
      <w:rPr>
        <w:b/>
      </w:rPr>
    </w:pPr>
    <w:r>
      <w:rPr>
        <w:b/>
        <w:lang w:val="en-GB"/>
      </w:rPr>
      <w:tab/>
    </w:r>
    <w:r w:rsidRPr="00A943AC">
      <w:rPr>
        <w:b/>
      </w:rPr>
      <w:t xml:space="preserve">XX Reunión del Foro de Ministros de Medio Ambiente </w:t>
    </w:r>
    <w:r>
      <w:rPr>
        <w:b/>
      </w:rPr>
      <w:t>de América Latina y el Caribe</w:t>
    </w:r>
  </w:p>
  <w:p w:rsidR="009F62F1" w:rsidRDefault="009F62F1" w:rsidP="009F62F1">
    <w:pPr>
      <w:tabs>
        <w:tab w:val="center" w:pos="4419"/>
        <w:tab w:val="left" w:pos="6938"/>
      </w:tabs>
      <w:contextualSpacing/>
      <w:rPr>
        <w:b/>
      </w:rPr>
    </w:pPr>
    <w:r>
      <w:rPr>
        <w:b/>
      </w:rPr>
      <w:tab/>
    </w:r>
    <w:r w:rsidR="00160902" w:rsidRPr="00DB5BA1">
      <w:rPr>
        <w:b/>
      </w:rPr>
      <w:t xml:space="preserve">28-31 </w:t>
    </w:r>
    <w:r w:rsidR="00160902">
      <w:rPr>
        <w:b/>
      </w:rPr>
      <w:t>de marzo de</w:t>
    </w:r>
    <w:r w:rsidR="00160902" w:rsidRPr="00DB5BA1">
      <w:rPr>
        <w:b/>
      </w:rPr>
      <w:t xml:space="preserve"> 2016, Cartagena, Colombia</w:t>
    </w:r>
  </w:p>
  <w:p w:rsidR="00160902" w:rsidRPr="00DB5BA1" w:rsidRDefault="009F62F1" w:rsidP="009F62F1">
    <w:pPr>
      <w:tabs>
        <w:tab w:val="center" w:pos="4419"/>
        <w:tab w:val="left" w:pos="6938"/>
      </w:tabs>
      <w:contextualSpacing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3BF"/>
    <w:multiLevelType w:val="hybridMultilevel"/>
    <w:tmpl w:val="1A74436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7755C"/>
    <w:multiLevelType w:val="hybridMultilevel"/>
    <w:tmpl w:val="4B127B3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4333B"/>
    <w:multiLevelType w:val="hybridMultilevel"/>
    <w:tmpl w:val="236677E8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IX22">
    <w15:presenceInfo w15:providerId="None" w15:userId="MAGIX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72"/>
    <w:rsid w:val="00042A89"/>
    <w:rsid w:val="0005366C"/>
    <w:rsid w:val="00061258"/>
    <w:rsid w:val="00075876"/>
    <w:rsid w:val="000867BF"/>
    <w:rsid w:val="000C3E69"/>
    <w:rsid w:val="000D2D1F"/>
    <w:rsid w:val="000D632D"/>
    <w:rsid w:val="000D64BC"/>
    <w:rsid w:val="0011227C"/>
    <w:rsid w:val="00126637"/>
    <w:rsid w:val="001378BD"/>
    <w:rsid w:val="00146371"/>
    <w:rsid w:val="0015413D"/>
    <w:rsid w:val="00160902"/>
    <w:rsid w:val="001809AA"/>
    <w:rsid w:val="001A22C0"/>
    <w:rsid w:val="001A48F1"/>
    <w:rsid w:val="001C6B03"/>
    <w:rsid w:val="001F2055"/>
    <w:rsid w:val="00270630"/>
    <w:rsid w:val="002B562A"/>
    <w:rsid w:val="002D1370"/>
    <w:rsid w:val="002F0F36"/>
    <w:rsid w:val="0032713B"/>
    <w:rsid w:val="003314DF"/>
    <w:rsid w:val="00331D6D"/>
    <w:rsid w:val="00350538"/>
    <w:rsid w:val="0035139B"/>
    <w:rsid w:val="0039169B"/>
    <w:rsid w:val="003D0520"/>
    <w:rsid w:val="003E3B15"/>
    <w:rsid w:val="003E5679"/>
    <w:rsid w:val="004238CC"/>
    <w:rsid w:val="00425A44"/>
    <w:rsid w:val="0043754F"/>
    <w:rsid w:val="00443A90"/>
    <w:rsid w:val="004A6321"/>
    <w:rsid w:val="005035AE"/>
    <w:rsid w:val="005106D6"/>
    <w:rsid w:val="00523E7F"/>
    <w:rsid w:val="00541459"/>
    <w:rsid w:val="00557D7C"/>
    <w:rsid w:val="00566E39"/>
    <w:rsid w:val="005B381C"/>
    <w:rsid w:val="005F42AB"/>
    <w:rsid w:val="006012E4"/>
    <w:rsid w:val="0062081C"/>
    <w:rsid w:val="00625A3E"/>
    <w:rsid w:val="00672552"/>
    <w:rsid w:val="006B0EE9"/>
    <w:rsid w:val="006B138E"/>
    <w:rsid w:val="006D177A"/>
    <w:rsid w:val="006D1E56"/>
    <w:rsid w:val="006D7F88"/>
    <w:rsid w:val="006E56E7"/>
    <w:rsid w:val="006F2F86"/>
    <w:rsid w:val="006F6B3C"/>
    <w:rsid w:val="00700F90"/>
    <w:rsid w:val="00721A43"/>
    <w:rsid w:val="0073242A"/>
    <w:rsid w:val="007A0C9E"/>
    <w:rsid w:val="007A6827"/>
    <w:rsid w:val="00805A54"/>
    <w:rsid w:val="008372DE"/>
    <w:rsid w:val="008909EF"/>
    <w:rsid w:val="008B7A76"/>
    <w:rsid w:val="008C3314"/>
    <w:rsid w:val="008C3766"/>
    <w:rsid w:val="008E3ABF"/>
    <w:rsid w:val="008F3681"/>
    <w:rsid w:val="00904949"/>
    <w:rsid w:val="00921DDC"/>
    <w:rsid w:val="00940C72"/>
    <w:rsid w:val="00953F21"/>
    <w:rsid w:val="00966AE8"/>
    <w:rsid w:val="009A4A86"/>
    <w:rsid w:val="009E3A75"/>
    <w:rsid w:val="009F5BC3"/>
    <w:rsid w:val="009F5EA6"/>
    <w:rsid w:val="009F62F1"/>
    <w:rsid w:val="00A10A7A"/>
    <w:rsid w:val="00A10CAD"/>
    <w:rsid w:val="00A12133"/>
    <w:rsid w:val="00A17539"/>
    <w:rsid w:val="00A33428"/>
    <w:rsid w:val="00A370B6"/>
    <w:rsid w:val="00A3772F"/>
    <w:rsid w:val="00A875AC"/>
    <w:rsid w:val="00A943AC"/>
    <w:rsid w:val="00AB6C34"/>
    <w:rsid w:val="00AC45A9"/>
    <w:rsid w:val="00AC5597"/>
    <w:rsid w:val="00AC7102"/>
    <w:rsid w:val="00AE10E1"/>
    <w:rsid w:val="00B03703"/>
    <w:rsid w:val="00B42755"/>
    <w:rsid w:val="00B67BDF"/>
    <w:rsid w:val="00BA3FF4"/>
    <w:rsid w:val="00BD5E72"/>
    <w:rsid w:val="00BF4C20"/>
    <w:rsid w:val="00C22CBE"/>
    <w:rsid w:val="00C35B19"/>
    <w:rsid w:val="00C9072C"/>
    <w:rsid w:val="00CA17F0"/>
    <w:rsid w:val="00CA4A15"/>
    <w:rsid w:val="00CC363D"/>
    <w:rsid w:val="00CC5D50"/>
    <w:rsid w:val="00CE1028"/>
    <w:rsid w:val="00D2568C"/>
    <w:rsid w:val="00D27904"/>
    <w:rsid w:val="00D43A66"/>
    <w:rsid w:val="00D52548"/>
    <w:rsid w:val="00D8571C"/>
    <w:rsid w:val="00DA5ABD"/>
    <w:rsid w:val="00DA70BD"/>
    <w:rsid w:val="00DB24FA"/>
    <w:rsid w:val="00DB5BA1"/>
    <w:rsid w:val="00DC499C"/>
    <w:rsid w:val="00DC6A05"/>
    <w:rsid w:val="00E07FB6"/>
    <w:rsid w:val="00E20F62"/>
    <w:rsid w:val="00E32DCB"/>
    <w:rsid w:val="00E379E8"/>
    <w:rsid w:val="00E5084D"/>
    <w:rsid w:val="00E5132C"/>
    <w:rsid w:val="00E51C09"/>
    <w:rsid w:val="00E760A7"/>
    <w:rsid w:val="00E9012C"/>
    <w:rsid w:val="00EC29F9"/>
    <w:rsid w:val="00EC4D4D"/>
    <w:rsid w:val="00ED4AB6"/>
    <w:rsid w:val="00F72762"/>
    <w:rsid w:val="00F75F95"/>
    <w:rsid w:val="00F83874"/>
    <w:rsid w:val="00F87A2A"/>
    <w:rsid w:val="00F94A25"/>
    <w:rsid w:val="00F971B6"/>
    <w:rsid w:val="00FB5E11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E1"/>
  </w:style>
  <w:style w:type="paragraph" w:styleId="Ttulo1">
    <w:name w:val="heading 1"/>
    <w:basedOn w:val="Normal"/>
    <w:next w:val="Normal"/>
    <w:link w:val="Ttulo1Car"/>
    <w:uiPriority w:val="9"/>
    <w:qFormat/>
    <w:rsid w:val="006B1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09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5D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7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BDF"/>
  </w:style>
  <w:style w:type="paragraph" w:styleId="Piedepgina">
    <w:name w:val="footer"/>
    <w:basedOn w:val="Normal"/>
    <w:link w:val="PiedepginaCar"/>
    <w:uiPriority w:val="99"/>
    <w:unhideWhenUsed/>
    <w:rsid w:val="00B67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BDF"/>
  </w:style>
  <w:style w:type="paragraph" w:styleId="Textodeglobo">
    <w:name w:val="Balloon Text"/>
    <w:basedOn w:val="Normal"/>
    <w:link w:val="TextodegloboCar"/>
    <w:uiPriority w:val="99"/>
    <w:semiHidden/>
    <w:unhideWhenUsed/>
    <w:rsid w:val="0043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54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909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909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909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9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9EF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8909E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6B13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D49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E1"/>
  </w:style>
  <w:style w:type="paragraph" w:styleId="Ttulo1">
    <w:name w:val="heading 1"/>
    <w:basedOn w:val="Normal"/>
    <w:next w:val="Normal"/>
    <w:link w:val="Ttulo1Car"/>
    <w:uiPriority w:val="9"/>
    <w:qFormat/>
    <w:rsid w:val="006B1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909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5D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67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BDF"/>
  </w:style>
  <w:style w:type="paragraph" w:styleId="Piedepgina">
    <w:name w:val="footer"/>
    <w:basedOn w:val="Normal"/>
    <w:link w:val="PiedepginaCar"/>
    <w:uiPriority w:val="99"/>
    <w:unhideWhenUsed/>
    <w:rsid w:val="00B67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BDF"/>
  </w:style>
  <w:style w:type="paragraph" w:styleId="Textodeglobo">
    <w:name w:val="Balloon Text"/>
    <w:basedOn w:val="Normal"/>
    <w:link w:val="TextodegloboCar"/>
    <w:uiPriority w:val="99"/>
    <w:semiHidden/>
    <w:unhideWhenUsed/>
    <w:rsid w:val="00437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54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909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909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909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9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9EF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8909E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6B13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D49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4C77-93C5-481D-8625-7578490B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Bello</dc:creator>
  <cp:lastModifiedBy> MM</cp:lastModifiedBy>
  <cp:revision>2</cp:revision>
  <cp:lastPrinted>2016-03-14T19:00:00Z</cp:lastPrinted>
  <dcterms:created xsi:type="dcterms:W3CDTF">2016-04-01T11:31:00Z</dcterms:created>
  <dcterms:modified xsi:type="dcterms:W3CDTF">2016-04-01T11:31:00Z</dcterms:modified>
</cp:coreProperties>
</file>